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0A" w:rsidRPr="00B3653F" w:rsidRDefault="002E180A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а, об источниках получения средств, за счет которых совершены сделки (совершена сделка), предоставленные лицами, замещающими должности руководителей МКУ</w:t>
      </w:r>
      <w:r w:rsidR="00C305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Саянского района </w:t>
      </w:r>
      <w:r w:rsidR="005955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год, подлежащие размещению на официальном сайте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X="-743" w:tblpY="1"/>
        <w:tblOverlap w:val="never"/>
        <w:tblW w:w="16268" w:type="dxa"/>
        <w:tblLayout w:type="fixed"/>
        <w:tblLook w:val="04A0"/>
      </w:tblPr>
      <w:tblGrid>
        <w:gridCol w:w="1522"/>
        <w:gridCol w:w="1555"/>
        <w:gridCol w:w="1414"/>
        <w:gridCol w:w="1697"/>
        <w:gridCol w:w="1134"/>
        <w:gridCol w:w="1134"/>
        <w:gridCol w:w="1275"/>
        <w:gridCol w:w="1142"/>
        <w:gridCol w:w="993"/>
        <w:gridCol w:w="1409"/>
        <w:gridCol w:w="859"/>
        <w:gridCol w:w="996"/>
        <w:gridCol w:w="1138"/>
      </w:tblGrid>
      <w:tr w:rsidR="00943517" w:rsidRPr="00DF400F" w:rsidTr="005C7DA7">
        <w:trPr>
          <w:trHeight w:val="559"/>
        </w:trPr>
        <w:tc>
          <w:tcPr>
            <w:tcW w:w="1522" w:type="dxa"/>
            <w:vMerge w:val="restart"/>
          </w:tcPr>
          <w:p w:rsidR="00943517" w:rsidRPr="003C5A5A" w:rsidRDefault="00943517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 </w:t>
            </w: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943517" w:rsidRPr="003C5A5A" w:rsidRDefault="0094351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5" w:type="dxa"/>
            <w:vMerge w:val="restart"/>
          </w:tcPr>
          <w:p w:rsidR="00943517" w:rsidRPr="003C5A5A" w:rsidRDefault="0094351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4" w:type="dxa"/>
            <w:vMerge w:val="restart"/>
          </w:tcPr>
          <w:p w:rsidR="00943517" w:rsidRPr="003C5A5A" w:rsidRDefault="00943517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</w:t>
            </w:r>
          </w:p>
          <w:p w:rsidR="00943517" w:rsidRPr="003C5A5A" w:rsidRDefault="0094351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 </w:t>
            </w:r>
            <w:r w:rsidRPr="003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="0059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2018</w:t>
            </w: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Pr="003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:rsidR="00943517" w:rsidRPr="003C5A5A" w:rsidRDefault="004167D2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недвижимого имущества, </w:t>
            </w:r>
            <w:proofErr w:type="gramStart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праве собственности </w:t>
            </w:r>
          </w:p>
        </w:tc>
        <w:tc>
          <w:tcPr>
            <w:tcW w:w="3410" w:type="dxa"/>
            <w:gridSpan w:val="3"/>
          </w:tcPr>
          <w:p w:rsidR="00943517" w:rsidRPr="003C5A5A" w:rsidRDefault="004167D2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</w:t>
            </w:r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недвижимого имущества, </w:t>
            </w:r>
            <w:proofErr w:type="gramStart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268" w:type="dxa"/>
            <w:gridSpan w:val="2"/>
          </w:tcPr>
          <w:p w:rsidR="00943517" w:rsidRPr="003C5A5A" w:rsidRDefault="00DA604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средства, принадлежащие </w:t>
            </w:r>
            <w:r w:rsidR="00943517"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134" w:type="dxa"/>
            <w:gridSpan w:val="2"/>
          </w:tcPr>
          <w:p w:rsidR="00943517" w:rsidRPr="003C5A5A" w:rsidRDefault="00DA604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C5A5A" w:rsidRPr="00DF400F" w:rsidTr="005C7DA7">
        <w:trPr>
          <w:trHeight w:val="73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556A0D" w:rsidRPr="003C5A5A" w:rsidRDefault="00556A0D" w:rsidP="005C7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C5A5A" w:rsidRDefault="00556A0D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C5A5A" w:rsidRDefault="00556A0D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C5A5A" w:rsidRDefault="00556A0D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C5A5A" w:rsidRDefault="00DA604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C5A5A" w:rsidRDefault="00DA6047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C5A5A" w:rsidRDefault="00E2030F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C5A5A" w:rsidRDefault="00E2030F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556A0D" w:rsidRPr="00DF400F" w:rsidTr="005C7DA7">
        <w:trPr>
          <w:trHeight w:val="375"/>
        </w:trPr>
        <w:tc>
          <w:tcPr>
            <w:tcW w:w="1522" w:type="dxa"/>
            <w:tcBorders>
              <w:top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5C7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74FF8" w:rsidRPr="00DF400F" w:rsidTr="005C7DA7">
        <w:trPr>
          <w:trHeight w:val="1095"/>
        </w:trPr>
        <w:tc>
          <w:tcPr>
            <w:tcW w:w="1522" w:type="dxa"/>
            <w:vMerge w:val="restart"/>
          </w:tcPr>
          <w:p w:rsidR="00074FF8" w:rsidRPr="00A9084A" w:rsidRDefault="00074FF8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Антонов Алекс</w:t>
            </w:r>
            <w:r w:rsidR="00A9084A"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ей </w:t>
            </w: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</w:t>
            </w:r>
            <w:r w:rsidR="00A9084A"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андрович</w:t>
            </w:r>
          </w:p>
        </w:tc>
        <w:tc>
          <w:tcPr>
            <w:tcW w:w="1555" w:type="dxa"/>
            <w:vMerge w:val="restart"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«ЦТО администрации Санского района»</w:t>
            </w: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FF8" w:rsidRPr="00B34335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(индивидуальный) 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074FF8" w:rsidRP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FF8" w:rsidRPr="00DF400F" w:rsidTr="005C7DA7">
        <w:trPr>
          <w:trHeight w:val="270"/>
        </w:trPr>
        <w:tc>
          <w:tcPr>
            <w:tcW w:w="1522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375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530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(индивидуальный)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074FF8" w:rsidRDefault="00074FF8" w:rsidP="005C7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510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405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Трактор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40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480"/>
        </w:trPr>
        <w:tc>
          <w:tcPr>
            <w:tcW w:w="1522" w:type="dxa"/>
            <w:vMerge/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F8" w:rsidRPr="00DF400F" w:rsidTr="005C7DA7">
        <w:trPr>
          <w:trHeight w:val="21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074FF8" w:rsidRPr="005955C3" w:rsidRDefault="00074FF8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DF400F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BA" w:rsidRPr="00DF400F" w:rsidTr="005C7DA7">
        <w:trPr>
          <w:trHeight w:val="870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8154BA" w:rsidRPr="00A9084A" w:rsidRDefault="008154BA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154BA" w:rsidRDefault="008154B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178 395,23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Default="00B936D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DF400F" w:rsidRDefault="00B936D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Default="00B936D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DF400F" w:rsidRDefault="00B936D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4BA" w:rsidRPr="00DF400F" w:rsidTr="005C7DA7">
        <w:trPr>
          <w:trHeight w:val="270"/>
        </w:trPr>
        <w:tc>
          <w:tcPr>
            <w:tcW w:w="1522" w:type="dxa"/>
            <w:vMerge/>
          </w:tcPr>
          <w:p w:rsidR="008154BA" w:rsidRPr="005955C3" w:rsidRDefault="008154BA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154BA" w:rsidRDefault="008154B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154BA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154BA" w:rsidRDefault="00074FF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154BA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8154BA" w:rsidRPr="00DF400F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154BA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154BA" w:rsidRPr="00DF400F" w:rsidRDefault="008154B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DF400F" w:rsidTr="005C7DA7">
        <w:trPr>
          <w:trHeight w:val="270"/>
        </w:trPr>
        <w:tc>
          <w:tcPr>
            <w:tcW w:w="1522" w:type="dxa"/>
          </w:tcPr>
          <w:p w:rsidR="00A9084A" w:rsidRPr="00A9084A" w:rsidRDefault="00A9084A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Default="00A9084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DF400F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DF400F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84A" w:rsidRPr="00DF400F" w:rsidTr="005C7DA7">
        <w:trPr>
          <w:trHeight w:val="270"/>
        </w:trPr>
        <w:tc>
          <w:tcPr>
            <w:tcW w:w="1522" w:type="dxa"/>
          </w:tcPr>
          <w:p w:rsidR="00A9084A" w:rsidRPr="00A9084A" w:rsidRDefault="00A9084A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Default="00A9084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DF400F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DF400F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84A" w:rsidRPr="00DF400F" w:rsidTr="005C7DA7">
        <w:trPr>
          <w:trHeight w:val="270"/>
        </w:trPr>
        <w:tc>
          <w:tcPr>
            <w:tcW w:w="1522" w:type="dxa"/>
          </w:tcPr>
          <w:p w:rsidR="00A9084A" w:rsidRPr="00A9084A" w:rsidRDefault="00A9084A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Default="00A9084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DF400F" w:rsidTr="005C7DA7">
        <w:trPr>
          <w:trHeight w:val="270"/>
        </w:trPr>
        <w:tc>
          <w:tcPr>
            <w:tcW w:w="1522" w:type="dxa"/>
          </w:tcPr>
          <w:p w:rsidR="00A9084A" w:rsidRPr="005955C3" w:rsidRDefault="00A9084A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Default="00A9084A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E14" w:rsidRPr="00DF400F" w:rsidTr="005C7DA7">
        <w:trPr>
          <w:trHeight w:val="768"/>
        </w:trPr>
        <w:tc>
          <w:tcPr>
            <w:tcW w:w="1522" w:type="dxa"/>
          </w:tcPr>
          <w:p w:rsidR="00556A0D" w:rsidRPr="00A44D8F" w:rsidRDefault="005955C3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Сатдаров</w:t>
            </w:r>
            <w:proofErr w:type="spellEnd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Илдар</w:t>
            </w:r>
            <w:proofErr w:type="spellEnd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4D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Нурисламович</w:t>
            </w:r>
            <w:proofErr w:type="spellEnd"/>
          </w:p>
        </w:tc>
        <w:tc>
          <w:tcPr>
            <w:tcW w:w="1555" w:type="dxa"/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D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344">
              <w:rPr>
                <w:rFonts w:ascii="Times New Roman" w:hAnsi="Times New Roman"/>
                <w:sz w:val="20"/>
                <w:szCs w:val="20"/>
              </w:rPr>
              <w:t>МКУ «Отдел культуры Саянского района»</w:t>
            </w:r>
          </w:p>
        </w:tc>
        <w:tc>
          <w:tcPr>
            <w:tcW w:w="1414" w:type="dxa"/>
          </w:tcPr>
          <w:p w:rsidR="00556A0D" w:rsidRPr="00DF400F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444 759,0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DF400F" w:rsidRDefault="009B457B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DF400F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DF400F" w:rsidRDefault="009B457B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A0D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556A0D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A0D" w:rsidRDefault="00A44D8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6A0D" w:rsidRPr="00DF400F" w:rsidRDefault="00556A0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9A" w:rsidRPr="00DF400F" w:rsidTr="005C7DA7">
        <w:trPr>
          <w:trHeight w:val="417"/>
        </w:trPr>
        <w:tc>
          <w:tcPr>
            <w:tcW w:w="1522" w:type="dxa"/>
            <w:vMerge w:val="restart"/>
          </w:tcPr>
          <w:p w:rsidR="001A689A" w:rsidRPr="00D75DCD" w:rsidRDefault="001A689A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D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Рябцева Елена Витальевн</w:t>
            </w:r>
          </w:p>
        </w:tc>
        <w:tc>
          <w:tcPr>
            <w:tcW w:w="1555" w:type="dxa"/>
            <w:vMerge w:val="restart"/>
          </w:tcPr>
          <w:p w:rsidR="001A689A" w:rsidRPr="004F1231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3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4F1231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1A689A" w:rsidRPr="00DF400F" w:rsidRDefault="00D75DC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1165 740,45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A689A" w:rsidRPr="001A7675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1A689A" w:rsidRPr="00E86E6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 w:rsidR="00E86E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1A689A" w:rsidRPr="003141F1" w:rsidRDefault="00E86E6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14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1A689A" w:rsidRPr="003141F1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1A689A" w:rsidRPr="001E39C3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89A" w:rsidRPr="00DF400F" w:rsidTr="005C7DA7">
        <w:trPr>
          <w:trHeight w:val="828"/>
        </w:trPr>
        <w:tc>
          <w:tcPr>
            <w:tcW w:w="1522" w:type="dxa"/>
            <w:vMerge/>
          </w:tcPr>
          <w:p w:rsidR="001A689A" w:rsidRPr="005955C3" w:rsidRDefault="001A689A" w:rsidP="005C7D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1A689A" w:rsidRPr="00DF400F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1A689A" w:rsidRDefault="001A689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F2" w:rsidRPr="00DF400F" w:rsidTr="005C7DA7">
        <w:trPr>
          <w:trHeight w:val="840"/>
        </w:trPr>
        <w:tc>
          <w:tcPr>
            <w:tcW w:w="1522" w:type="dxa"/>
            <w:vMerge w:val="restart"/>
          </w:tcPr>
          <w:p w:rsidR="00ED16F2" w:rsidRPr="00E9606C" w:rsidRDefault="00ED16F2" w:rsidP="005C7DA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0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Марина Анатольевна</w:t>
            </w:r>
          </w:p>
          <w:p w:rsidR="00ED16F2" w:rsidRPr="00E9606C" w:rsidRDefault="00ED16F2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ED16F2" w:rsidRPr="00A26B4C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A26B4C">
              <w:rPr>
                <w:rFonts w:ascii="Times New Roman" w:hAnsi="Times New Roman"/>
                <w:sz w:val="20"/>
                <w:szCs w:val="20"/>
              </w:rPr>
              <w:t xml:space="preserve"> МКУ «Финансово-экономического управление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ED16F2" w:rsidRDefault="005955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618 450,52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D16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93C6C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proofErr w:type="gramStart"/>
            <w:r w:rsidR="00E93C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  <w:r w:rsidR="00E93C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ED16F2" w:rsidRPr="00D370ED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D16F2" w:rsidRDefault="00611F59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758"/>
        </w:trPr>
        <w:tc>
          <w:tcPr>
            <w:tcW w:w="1522" w:type="dxa"/>
            <w:vMerge/>
          </w:tcPr>
          <w:p w:rsidR="00ED16F2" w:rsidRPr="00E9606C" w:rsidRDefault="00ED16F2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16F2" w:rsidRPr="00A26B4C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400F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C" w:rsidRPr="00DF400F" w:rsidTr="005C7DA7">
        <w:trPr>
          <w:trHeight w:val="975"/>
        </w:trPr>
        <w:tc>
          <w:tcPr>
            <w:tcW w:w="1522" w:type="dxa"/>
            <w:vMerge w:val="restart"/>
          </w:tcPr>
          <w:p w:rsidR="00E9606C" w:rsidRPr="00E9606C" w:rsidRDefault="00E9606C" w:rsidP="005C7D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0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</w:tcPr>
          <w:p w:rsidR="00E9606C" w:rsidRPr="00A26B4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245 513,77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06C" w:rsidRPr="00DF400F" w:rsidTr="005C7DA7">
        <w:trPr>
          <w:trHeight w:val="1110"/>
        </w:trPr>
        <w:tc>
          <w:tcPr>
            <w:tcW w:w="1522" w:type="dxa"/>
            <w:vMerge/>
          </w:tcPr>
          <w:p w:rsidR="00E9606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9606C" w:rsidRPr="00A26B4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Шевролет Нива 212300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C" w:rsidRPr="00DF400F" w:rsidTr="005C7DA7">
        <w:trPr>
          <w:trHeight w:val="25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E9606C" w:rsidRPr="00A26B4C" w:rsidRDefault="00E960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2-54 КШ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Default="00E960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6C" w:rsidRPr="00DF400F" w:rsidTr="005C7DA7">
        <w:trPr>
          <w:trHeight w:val="1695"/>
        </w:trPr>
        <w:tc>
          <w:tcPr>
            <w:tcW w:w="1522" w:type="dxa"/>
            <w:vMerge w:val="restart"/>
          </w:tcPr>
          <w:p w:rsidR="003B2C6C" w:rsidRPr="005955C3" w:rsidRDefault="003B2C6C" w:rsidP="005C7D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D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Ишаков Сергей Владимирович</w:t>
            </w:r>
          </w:p>
        </w:tc>
        <w:tc>
          <w:tcPr>
            <w:tcW w:w="1555" w:type="dxa"/>
            <w:vMerge w:val="restart"/>
          </w:tcPr>
          <w:p w:rsidR="003B2C6C" w:rsidRPr="00A26B4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Начальник МКУ «ЕДДС Саянского района»</w:t>
            </w:r>
          </w:p>
        </w:tc>
        <w:tc>
          <w:tcPr>
            <w:tcW w:w="1414" w:type="dxa"/>
            <w:vMerge w:val="restart"/>
          </w:tcPr>
          <w:p w:rsidR="003B2C6C" w:rsidRDefault="00D75DC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692 535,29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B2C6C" w:rsidRPr="007F15E1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331512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C6C" w:rsidRPr="00DF400F" w:rsidTr="005C7DA7">
        <w:trPr>
          <w:trHeight w:val="360"/>
        </w:trPr>
        <w:tc>
          <w:tcPr>
            <w:tcW w:w="1522" w:type="dxa"/>
            <w:vMerge/>
          </w:tcPr>
          <w:p w:rsidR="003B2C6C" w:rsidRPr="00A26B4C" w:rsidRDefault="003B2C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B2C6C" w:rsidRPr="00A26B4C" w:rsidRDefault="003B2C6C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3B2C6C" w:rsidRDefault="003B2C6C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5C7DA7">
        <w:trPr>
          <w:trHeight w:val="915"/>
        </w:trPr>
        <w:tc>
          <w:tcPr>
            <w:tcW w:w="1522" w:type="dxa"/>
            <w:vMerge/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5C7DA7">
        <w:trPr>
          <w:trHeight w:val="795"/>
        </w:trPr>
        <w:tc>
          <w:tcPr>
            <w:tcW w:w="1522" w:type="dxa"/>
            <w:vMerge/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31C2F" w:rsidRPr="00842D60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5C7DA7">
        <w:trPr>
          <w:trHeight w:val="11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31C2F" w:rsidRPr="00A26B4C" w:rsidRDefault="00831C2F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1A5AC2" w:rsidRDefault="001A5AC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лодка казанка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1A5AC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«Вихорь» -30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Default="00831C2F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CE" w:rsidRPr="00DF400F" w:rsidTr="005C7DA7">
        <w:trPr>
          <w:trHeight w:val="97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0F4BCE" w:rsidRPr="00A26B4C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0F4BCE" w:rsidRPr="00A26B4C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0F4BCE" w:rsidRDefault="00D75DC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292 665,32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400F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CE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0F4BCE" w:rsidRPr="00EC4920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EC4920" w:rsidRDefault="00EC492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1E23C0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Pr="001E39C3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BCE" w:rsidRPr="00DF400F" w:rsidTr="005C7DA7">
        <w:trPr>
          <w:trHeight w:val="160"/>
        </w:trPr>
        <w:tc>
          <w:tcPr>
            <w:tcW w:w="1522" w:type="dxa"/>
            <w:vMerge/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F4BCE" w:rsidRPr="00A26B4C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0F4BCE" w:rsidRPr="001E23C0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F4BCE" w:rsidRDefault="000F4BCE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A7" w:rsidRPr="00DF400F" w:rsidTr="005C7DA7">
        <w:trPr>
          <w:trHeight w:val="660"/>
        </w:trPr>
        <w:tc>
          <w:tcPr>
            <w:tcW w:w="1522" w:type="dxa"/>
            <w:vMerge w:val="restart"/>
          </w:tcPr>
          <w:p w:rsidR="005C7DA7" w:rsidRPr="005C7DA7" w:rsidRDefault="005C7DA7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Бусыгина </w:t>
            </w:r>
            <w:proofErr w:type="spellStart"/>
            <w:r w:rsidRPr="005C7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Инга</w:t>
            </w:r>
            <w:proofErr w:type="spellEnd"/>
            <w:r w:rsidRPr="005C7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55" w:type="dxa"/>
            <w:vMerge w:val="restart"/>
          </w:tcPr>
          <w:p w:rsidR="005C7DA7" w:rsidRPr="00A26B4C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Директор МБУ МЦ «Саяны»</w:t>
            </w:r>
          </w:p>
        </w:tc>
        <w:tc>
          <w:tcPr>
            <w:tcW w:w="1414" w:type="dxa"/>
            <w:vMerge w:val="restart"/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581 932, 07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5C7DA7" w:rsidRPr="00B40953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4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DA7" w:rsidRPr="00DF400F" w:rsidTr="005C7DA7">
        <w:trPr>
          <w:trHeight w:val="245"/>
        </w:trPr>
        <w:tc>
          <w:tcPr>
            <w:tcW w:w="1522" w:type="dxa"/>
            <w:vMerge/>
          </w:tcPr>
          <w:p w:rsidR="005C7DA7" w:rsidRPr="005955C3" w:rsidRDefault="005C7DA7" w:rsidP="005C7D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C7DA7" w:rsidRPr="00A26B4C" w:rsidRDefault="005C7DA7" w:rsidP="005C7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участок (индивидуальный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7DA7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F2" w:rsidRPr="00DF400F" w:rsidTr="005C7DA7">
        <w:trPr>
          <w:trHeight w:val="780"/>
        </w:trPr>
        <w:tc>
          <w:tcPr>
            <w:tcW w:w="1522" w:type="dxa"/>
            <w:vMerge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D16F2" w:rsidRPr="0022731F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780"/>
        </w:trPr>
        <w:tc>
          <w:tcPr>
            <w:tcW w:w="1522" w:type="dxa"/>
          </w:tcPr>
          <w:p w:rsidR="00ED16F2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ED16F2" w:rsidRDefault="005C7DA7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D16F2" w:rsidRPr="0022731F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756"/>
        </w:trPr>
        <w:tc>
          <w:tcPr>
            <w:tcW w:w="1522" w:type="dxa"/>
          </w:tcPr>
          <w:p w:rsidR="00ED16F2" w:rsidRPr="00D75DCD" w:rsidRDefault="00ED16F2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Кашина Ольга Дмитриевна</w:t>
            </w:r>
          </w:p>
        </w:tc>
        <w:tc>
          <w:tcPr>
            <w:tcW w:w="1555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«Муниципальный архив Саянского района»</w:t>
            </w:r>
          </w:p>
        </w:tc>
        <w:tc>
          <w:tcPr>
            <w:tcW w:w="1414" w:type="dxa"/>
          </w:tcPr>
          <w:p w:rsidR="00ED16F2" w:rsidRDefault="0028348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739 612,60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Pr="002229AD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37258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22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22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756"/>
        </w:trPr>
        <w:tc>
          <w:tcPr>
            <w:tcW w:w="1522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Pr="00B217BD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756"/>
        </w:trPr>
        <w:tc>
          <w:tcPr>
            <w:tcW w:w="1522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282E96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772 552,62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804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Pr="00EC342F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B860CD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EC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EC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756"/>
        </w:trPr>
        <w:tc>
          <w:tcPr>
            <w:tcW w:w="1522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нежилое 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Pr="00130AC9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Pr="00C74170" w:rsidRDefault="00846689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Тиксон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756"/>
        </w:trPr>
        <w:tc>
          <w:tcPr>
            <w:tcW w:w="1522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грузовой фургон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Pr="00167DEE" w:rsidRDefault="00C74170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LDVMAXUS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480"/>
        </w:trPr>
        <w:tc>
          <w:tcPr>
            <w:tcW w:w="1522" w:type="dxa"/>
          </w:tcPr>
          <w:p w:rsidR="00ED16F2" w:rsidRPr="00F867B5" w:rsidRDefault="00ED16F2" w:rsidP="005C7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6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Шиндякина</w:t>
            </w:r>
            <w:proofErr w:type="spellEnd"/>
            <w:r w:rsidRPr="00F86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55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социальной защиты населения</w:t>
            </w:r>
          </w:p>
        </w:tc>
        <w:tc>
          <w:tcPr>
            <w:tcW w:w="1414" w:type="dxa"/>
          </w:tcPr>
          <w:p w:rsidR="00ED16F2" w:rsidRDefault="00272415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568 704,48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 бессрочное)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Default="00F867B5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F867B5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480"/>
        </w:trPr>
        <w:tc>
          <w:tcPr>
            <w:tcW w:w="1522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BA3179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2415">
              <w:rPr>
                <w:rFonts w:ascii="Times New Roman" w:hAnsi="Times New Roman" w:cs="Times New Roman"/>
                <w:sz w:val="20"/>
                <w:szCs w:val="20"/>
              </w:rPr>
              <w:t>319 678,0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</w:t>
            </w:r>
            <w:r w:rsidR="00272415">
              <w:rPr>
                <w:rFonts w:ascii="Times New Roman" w:hAnsi="Times New Roman" w:cs="Times New Roman"/>
                <w:sz w:val="20"/>
                <w:szCs w:val="20"/>
              </w:rPr>
              <w:t>ток приусадебный (</w:t>
            </w:r>
            <w:proofErr w:type="gramStart"/>
            <w:r w:rsidR="002724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D16F2" w:rsidRPr="00AD430D" w:rsidRDefault="00F867B5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F867B5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480"/>
        </w:trPr>
        <w:tc>
          <w:tcPr>
            <w:tcW w:w="1522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5C7DA7">
        <w:trPr>
          <w:trHeight w:val="480"/>
        </w:trPr>
        <w:tc>
          <w:tcPr>
            <w:tcW w:w="1522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732992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7A0B" w:rsidRPr="00DF400F" w:rsidTr="005C7DA7">
        <w:trPr>
          <w:trHeight w:val="480"/>
        </w:trPr>
        <w:tc>
          <w:tcPr>
            <w:tcW w:w="1522" w:type="dxa"/>
          </w:tcPr>
          <w:p w:rsidR="00AC7A0B" w:rsidRDefault="00AC7A0B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555" w:type="dxa"/>
          </w:tcPr>
          <w:p w:rsidR="00AC7A0B" w:rsidRDefault="00AC7A0B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«Центр тестирования по выполнению нормативов испытаний тестов Всеро</w:t>
            </w:r>
            <w:r w:rsidR="00F96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сийского физкультурно-спортивного комплекса «Готов к труду и обороне» Саянского района «Агинское»</w:t>
            </w:r>
          </w:p>
        </w:tc>
        <w:tc>
          <w:tcPr>
            <w:tcW w:w="1414" w:type="dxa"/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564 201,17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(безвозмездное пользование, бессрочно)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7A0B" w:rsidRPr="00DF400F" w:rsidTr="005C7DA7">
        <w:trPr>
          <w:trHeight w:val="480"/>
        </w:trPr>
        <w:tc>
          <w:tcPr>
            <w:tcW w:w="1522" w:type="dxa"/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5" w:type="dxa"/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C7A0B" w:rsidRDefault="00F965C8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84A" w:rsidRPr="00DF400F" w:rsidTr="005C7DA7">
        <w:trPr>
          <w:trHeight w:val="870"/>
        </w:trPr>
        <w:tc>
          <w:tcPr>
            <w:tcW w:w="1522" w:type="dxa"/>
            <w:vMerge w:val="restart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Патрушев Борис Анатольевич</w:t>
            </w:r>
          </w:p>
        </w:tc>
        <w:tc>
          <w:tcPr>
            <w:tcW w:w="1555" w:type="dxa"/>
            <w:vMerge w:val="restart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Спортивная школа Саянского района</w:t>
            </w:r>
          </w:p>
        </w:tc>
        <w:tc>
          <w:tcPr>
            <w:tcW w:w="1414" w:type="dxa"/>
            <w:vMerge w:val="restart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730 175,51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F17C4">
              <w:rPr>
                <w:rFonts w:ascii="Times New Roman" w:hAnsi="Times New Roman" w:cs="Times New Roman"/>
                <w:sz w:val="20"/>
                <w:szCs w:val="20"/>
              </w:rPr>
              <w:t>(совместный, 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DF400F" w:rsidTr="005C7DA7">
        <w:trPr>
          <w:trHeight w:val="300"/>
        </w:trPr>
        <w:tc>
          <w:tcPr>
            <w:tcW w:w="1522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DF400F" w:rsidTr="005C7DA7">
        <w:trPr>
          <w:trHeight w:val="615"/>
        </w:trPr>
        <w:tc>
          <w:tcPr>
            <w:tcW w:w="1522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821305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DF400F" w:rsidTr="005C7DA7">
        <w:trPr>
          <w:trHeight w:val="120"/>
        </w:trPr>
        <w:tc>
          <w:tcPr>
            <w:tcW w:w="1522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4A" w:rsidRPr="00DF400F" w:rsidTr="005C7DA7">
        <w:trPr>
          <w:trHeight w:val="33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84A" w:rsidRDefault="00A9084A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C4" w:rsidRPr="00DF400F" w:rsidTr="005C7DA7">
        <w:trPr>
          <w:trHeight w:val="49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414 439,35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(совместный, общий)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C4" w:rsidRPr="00DF400F" w:rsidTr="005C7DA7">
        <w:trPr>
          <w:trHeight w:val="39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CF17C4" w:rsidRDefault="00CF17C4" w:rsidP="005C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DF2" w:rsidRPr="00DF400F" w:rsidRDefault="005C7DA7" w:rsidP="00384AC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5DF2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280"/>
    <w:rsid w:val="00020930"/>
    <w:rsid w:val="000212E9"/>
    <w:rsid w:val="0002769F"/>
    <w:rsid w:val="0003204D"/>
    <w:rsid w:val="00032AF0"/>
    <w:rsid w:val="00036D22"/>
    <w:rsid w:val="00042A70"/>
    <w:rsid w:val="00052AF0"/>
    <w:rsid w:val="00053B9C"/>
    <w:rsid w:val="00071802"/>
    <w:rsid w:val="00074FF8"/>
    <w:rsid w:val="00075460"/>
    <w:rsid w:val="00085799"/>
    <w:rsid w:val="0008693B"/>
    <w:rsid w:val="00094FE9"/>
    <w:rsid w:val="000A52FF"/>
    <w:rsid w:val="000B55B9"/>
    <w:rsid w:val="000C571A"/>
    <w:rsid w:val="000F4BCE"/>
    <w:rsid w:val="000F6332"/>
    <w:rsid w:val="001258E0"/>
    <w:rsid w:val="00130AC9"/>
    <w:rsid w:val="001403C9"/>
    <w:rsid w:val="00151592"/>
    <w:rsid w:val="00167DEE"/>
    <w:rsid w:val="001824FC"/>
    <w:rsid w:val="00195BFF"/>
    <w:rsid w:val="00197A59"/>
    <w:rsid w:val="001A5AC2"/>
    <w:rsid w:val="001A689A"/>
    <w:rsid w:val="001A7675"/>
    <w:rsid w:val="001C025B"/>
    <w:rsid w:val="001C0997"/>
    <w:rsid w:val="001C3B54"/>
    <w:rsid w:val="001E23C0"/>
    <w:rsid w:val="001E39C3"/>
    <w:rsid w:val="00205FB7"/>
    <w:rsid w:val="002229AD"/>
    <w:rsid w:val="00224D44"/>
    <w:rsid w:val="0022731F"/>
    <w:rsid w:val="002438A3"/>
    <w:rsid w:val="002625AB"/>
    <w:rsid w:val="002637AE"/>
    <w:rsid w:val="00272415"/>
    <w:rsid w:val="00274EB8"/>
    <w:rsid w:val="00282E96"/>
    <w:rsid w:val="00283484"/>
    <w:rsid w:val="00284A19"/>
    <w:rsid w:val="00285F05"/>
    <w:rsid w:val="002D10DC"/>
    <w:rsid w:val="002D25D7"/>
    <w:rsid w:val="002E180A"/>
    <w:rsid w:val="003141F1"/>
    <w:rsid w:val="0031454C"/>
    <w:rsid w:val="003349C4"/>
    <w:rsid w:val="00335C16"/>
    <w:rsid w:val="00343DF0"/>
    <w:rsid w:val="0034413F"/>
    <w:rsid w:val="003604AE"/>
    <w:rsid w:val="00372583"/>
    <w:rsid w:val="0037510B"/>
    <w:rsid w:val="00384ACD"/>
    <w:rsid w:val="003877D3"/>
    <w:rsid w:val="00392CF0"/>
    <w:rsid w:val="003A52F8"/>
    <w:rsid w:val="003B2C6C"/>
    <w:rsid w:val="003C03B6"/>
    <w:rsid w:val="003C5A5A"/>
    <w:rsid w:val="003E460F"/>
    <w:rsid w:val="003E73DE"/>
    <w:rsid w:val="003F4584"/>
    <w:rsid w:val="003F6154"/>
    <w:rsid w:val="004167D2"/>
    <w:rsid w:val="004203EF"/>
    <w:rsid w:val="00435B5E"/>
    <w:rsid w:val="00440EFD"/>
    <w:rsid w:val="004443E7"/>
    <w:rsid w:val="00446307"/>
    <w:rsid w:val="004471C3"/>
    <w:rsid w:val="00451D89"/>
    <w:rsid w:val="00455EFF"/>
    <w:rsid w:val="00467425"/>
    <w:rsid w:val="004817AA"/>
    <w:rsid w:val="004A04B5"/>
    <w:rsid w:val="004A08B9"/>
    <w:rsid w:val="004A2571"/>
    <w:rsid w:val="004D0641"/>
    <w:rsid w:val="004D189A"/>
    <w:rsid w:val="004D6CBB"/>
    <w:rsid w:val="004E0B90"/>
    <w:rsid w:val="004E3298"/>
    <w:rsid w:val="004E6F0B"/>
    <w:rsid w:val="004F0116"/>
    <w:rsid w:val="004F0D21"/>
    <w:rsid w:val="004F1231"/>
    <w:rsid w:val="00516E6B"/>
    <w:rsid w:val="00525BCA"/>
    <w:rsid w:val="00525F09"/>
    <w:rsid w:val="00532778"/>
    <w:rsid w:val="00532B66"/>
    <w:rsid w:val="00543C84"/>
    <w:rsid w:val="00544DB6"/>
    <w:rsid w:val="00546072"/>
    <w:rsid w:val="00552DC6"/>
    <w:rsid w:val="00556A0D"/>
    <w:rsid w:val="00591057"/>
    <w:rsid w:val="005955C3"/>
    <w:rsid w:val="005A0EDC"/>
    <w:rsid w:val="005C7DA7"/>
    <w:rsid w:val="005E22C8"/>
    <w:rsid w:val="005F524D"/>
    <w:rsid w:val="00611F59"/>
    <w:rsid w:val="00616515"/>
    <w:rsid w:val="006173B9"/>
    <w:rsid w:val="00620C1E"/>
    <w:rsid w:val="00636043"/>
    <w:rsid w:val="00660722"/>
    <w:rsid w:val="00661DA0"/>
    <w:rsid w:val="00663591"/>
    <w:rsid w:val="00672D38"/>
    <w:rsid w:val="00677A6A"/>
    <w:rsid w:val="00693879"/>
    <w:rsid w:val="0069490C"/>
    <w:rsid w:val="006A59FD"/>
    <w:rsid w:val="006D6D41"/>
    <w:rsid w:val="006E4346"/>
    <w:rsid w:val="006F59B2"/>
    <w:rsid w:val="00706226"/>
    <w:rsid w:val="007141F1"/>
    <w:rsid w:val="007252DE"/>
    <w:rsid w:val="00732992"/>
    <w:rsid w:val="00733E14"/>
    <w:rsid w:val="00737800"/>
    <w:rsid w:val="00740590"/>
    <w:rsid w:val="00762BDF"/>
    <w:rsid w:val="00766625"/>
    <w:rsid w:val="00783E93"/>
    <w:rsid w:val="00796FFD"/>
    <w:rsid w:val="007A55B6"/>
    <w:rsid w:val="007B0611"/>
    <w:rsid w:val="007B404D"/>
    <w:rsid w:val="007D2A44"/>
    <w:rsid w:val="007F0CCA"/>
    <w:rsid w:val="007F15E1"/>
    <w:rsid w:val="00804085"/>
    <w:rsid w:val="00810398"/>
    <w:rsid w:val="008154BA"/>
    <w:rsid w:val="008166A2"/>
    <w:rsid w:val="00823E81"/>
    <w:rsid w:val="00831C2F"/>
    <w:rsid w:val="00842D60"/>
    <w:rsid w:val="00846689"/>
    <w:rsid w:val="00846868"/>
    <w:rsid w:val="008A0BDE"/>
    <w:rsid w:val="008A0E06"/>
    <w:rsid w:val="008C5948"/>
    <w:rsid w:val="008F669E"/>
    <w:rsid w:val="008F7BE9"/>
    <w:rsid w:val="00913ED6"/>
    <w:rsid w:val="00921548"/>
    <w:rsid w:val="009323A2"/>
    <w:rsid w:val="00943517"/>
    <w:rsid w:val="00957A87"/>
    <w:rsid w:val="00981CC0"/>
    <w:rsid w:val="00985222"/>
    <w:rsid w:val="009A3E20"/>
    <w:rsid w:val="009A5063"/>
    <w:rsid w:val="009B0911"/>
    <w:rsid w:val="009B457B"/>
    <w:rsid w:val="009C6C45"/>
    <w:rsid w:val="009D0FE8"/>
    <w:rsid w:val="009E2525"/>
    <w:rsid w:val="00A26B4C"/>
    <w:rsid w:val="00A420E4"/>
    <w:rsid w:val="00A44D8F"/>
    <w:rsid w:val="00A5281B"/>
    <w:rsid w:val="00A5707B"/>
    <w:rsid w:val="00A76B21"/>
    <w:rsid w:val="00A9084A"/>
    <w:rsid w:val="00AC3FD3"/>
    <w:rsid w:val="00AC7A0B"/>
    <w:rsid w:val="00AD430D"/>
    <w:rsid w:val="00AE2AD3"/>
    <w:rsid w:val="00AE5821"/>
    <w:rsid w:val="00AF036B"/>
    <w:rsid w:val="00B16981"/>
    <w:rsid w:val="00B217BD"/>
    <w:rsid w:val="00B25BF9"/>
    <w:rsid w:val="00B26A42"/>
    <w:rsid w:val="00B34335"/>
    <w:rsid w:val="00B3653F"/>
    <w:rsid w:val="00B40953"/>
    <w:rsid w:val="00B860CD"/>
    <w:rsid w:val="00B8634B"/>
    <w:rsid w:val="00B875F3"/>
    <w:rsid w:val="00B92344"/>
    <w:rsid w:val="00B93141"/>
    <w:rsid w:val="00B936DF"/>
    <w:rsid w:val="00BA3179"/>
    <w:rsid w:val="00BA4BBA"/>
    <w:rsid w:val="00BB01AF"/>
    <w:rsid w:val="00BB191A"/>
    <w:rsid w:val="00BB7B3A"/>
    <w:rsid w:val="00BC58C4"/>
    <w:rsid w:val="00BE186C"/>
    <w:rsid w:val="00BE2FD4"/>
    <w:rsid w:val="00C01386"/>
    <w:rsid w:val="00C073F6"/>
    <w:rsid w:val="00C273A8"/>
    <w:rsid w:val="00C3058D"/>
    <w:rsid w:val="00C72254"/>
    <w:rsid w:val="00C74170"/>
    <w:rsid w:val="00C91953"/>
    <w:rsid w:val="00CC35E7"/>
    <w:rsid w:val="00CD6115"/>
    <w:rsid w:val="00CD7AAA"/>
    <w:rsid w:val="00CF17C4"/>
    <w:rsid w:val="00CF1C47"/>
    <w:rsid w:val="00CF7DC9"/>
    <w:rsid w:val="00D06109"/>
    <w:rsid w:val="00D16E51"/>
    <w:rsid w:val="00D25EB6"/>
    <w:rsid w:val="00D370ED"/>
    <w:rsid w:val="00D50448"/>
    <w:rsid w:val="00D66D73"/>
    <w:rsid w:val="00D70A1C"/>
    <w:rsid w:val="00D72057"/>
    <w:rsid w:val="00D73010"/>
    <w:rsid w:val="00D75DCD"/>
    <w:rsid w:val="00D803CF"/>
    <w:rsid w:val="00DA03F9"/>
    <w:rsid w:val="00DA1B9F"/>
    <w:rsid w:val="00DA6047"/>
    <w:rsid w:val="00DA771B"/>
    <w:rsid w:val="00DC4CB8"/>
    <w:rsid w:val="00DE47A8"/>
    <w:rsid w:val="00DE7ADB"/>
    <w:rsid w:val="00DF3A3C"/>
    <w:rsid w:val="00DF400F"/>
    <w:rsid w:val="00E03F35"/>
    <w:rsid w:val="00E2030F"/>
    <w:rsid w:val="00E43D58"/>
    <w:rsid w:val="00E4630C"/>
    <w:rsid w:val="00E76332"/>
    <w:rsid w:val="00E86E6A"/>
    <w:rsid w:val="00E93C6C"/>
    <w:rsid w:val="00E9560C"/>
    <w:rsid w:val="00E95DF4"/>
    <w:rsid w:val="00E9606C"/>
    <w:rsid w:val="00EA37C8"/>
    <w:rsid w:val="00EB6489"/>
    <w:rsid w:val="00EC342F"/>
    <w:rsid w:val="00EC4920"/>
    <w:rsid w:val="00ED16F2"/>
    <w:rsid w:val="00ED41A5"/>
    <w:rsid w:val="00EE086B"/>
    <w:rsid w:val="00EE3105"/>
    <w:rsid w:val="00EF3286"/>
    <w:rsid w:val="00F04219"/>
    <w:rsid w:val="00F055DD"/>
    <w:rsid w:val="00F25A48"/>
    <w:rsid w:val="00F41A1B"/>
    <w:rsid w:val="00F47E1A"/>
    <w:rsid w:val="00F506D2"/>
    <w:rsid w:val="00F5540B"/>
    <w:rsid w:val="00F55E50"/>
    <w:rsid w:val="00F62511"/>
    <w:rsid w:val="00F648B1"/>
    <w:rsid w:val="00F6532A"/>
    <w:rsid w:val="00F7596C"/>
    <w:rsid w:val="00F854B4"/>
    <w:rsid w:val="00F867B5"/>
    <w:rsid w:val="00F90B77"/>
    <w:rsid w:val="00F9551B"/>
    <w:rsid w:val="00F965C8"/>
    <w:rsid w:val="00FC359D"/>
    <w:rsid w:val="00FC7348"/>
    <w:rsid w:val="00FD321A"/>
    <w:rsid w:val="00FF33AE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3C73-AD57-462E-9EA7-5A2E1584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Zvezda</cp:lastModifiedBy>
  <cp:revision>74</cp:revision>
  <cp:lastPrinted>2016-05-12T08:59:00Z</cp:lastPrinted>
  <dcterms:created xsi:type="dcterms:W3CDTF">2016-05-12T09:32:00Z</dcterms:created>
  <dcterms:modified xsi:type="dcterms:W3CDTF">2019-04-29T04:12:00Z</dcterms:modified>
</cp:coreProperties>
</file>